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D8" w:rsidRDefault="001F27D8" w:rsidP="001F27D8">
      <w:pPr>
        <w:pStyle w:val="a3"/>
        <w:spacing w:before="150" w:beforeAutospacing="0" w:after="150" w:afterAutospacing="0" w:line="276" w:lineRule="auto"/>
        <w:ind w:left="-567" w:right="150"/>
        <w:rPr>
          <w:b/>
          <w:sz w:val="28"/>
          <w:szCs w:val="28"/>
          <w:lang w:val="uk-UA"/>
        </w:rPr>
      </w:pPr>
      <w:r>
        <w:rPr>
          <w:b/>
          <w:sz w:val="28"/>
          <w:szCs w:val="28"/>
        </w:rPr>
        <w:t>УДК</w:t>
      </w:r>
      <w:r>
        <w:rPr>
          <w:b/>
          <w:sz w:val="28"/>
          <w:szCs w:val="28"/>
          <w:lang w:val="en-US"/>
        </w:rPr>
        <w:t xml:space="preserve"> 661.65</w:t>
      </w:r>
    </w:p>
    <w:p w:rsidR="00662830" w:rsidRDefault="00650C28" w:rsidP="0026705D">
      <w:pPr>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ОСОБЛИВОСТІ </w:t>
      </w:r>
      <w:r w:rsidR="00662830" w:rsidRPr="00650C28">
        <w:rPr>
          <w:rFonts w:ascii="Times New Roman" w:hAnsi="Times New Roman" w:cs="Times New Roman"/>
          <w:b/>
          <w:sz w:val="28"/>
          <w:szCs w:val="28"/>
        </w:rPr>
        <w:t>ОФШОРН</w:t>
      </w:r>
      <w:r>
        <w:rPr>
          <w:rFonts w:ascii="Times New Roman" w:hAnsi="Times New Roman" w:cs="Times New Roman"/>
          <w:b/>
          <w:sz w:val="28"/>
          <w:szCs w:val="28"/>
          <w:lang w:val="uk-UA"/>
        </w:rPr>
        <w:t xml:space="preserve">ИХ </w:t>
      </w:r>
      <w:r w:rsidR="00662830" w:rsidRPr="00650C28">
        <w:rPr>
          <w:rFonts w:ascii="Times New Roman" w:hAnsi="Times New Roman" w:cs="Times New Roman"/>
          <w:b/>
          <w:sz w:val="28"/>
          <w:szCs w:val="28"/>
        </w:rPr>
        <w:t>ЗОН ОА</w:t>
      </w:r>
      <w:r w:rsidR="00662830" w:rsidRPr="00662830">
        <w:rPr>
          <w:rFonts w:ascii="Times New Roman" w:hAnsi="Times New Roman" w:cs="Times New Roman"/>
          <w:b/>
          <w:sz w:val="28"/>
          <w:szCs w:val="28"/>
          <w:lang w:val="uk-UA"/>
        </w:rPr>
        <w:t>Е</w:t>
      </w:r>
      <w:r>
        <w:rPr>
          <w:rFonts w:ascii="Times New Roman" w:hAnsi="Times New Roman" w:cs="Times New Roman"/>
          <w:b/>
          <w:sz w:val="28"/>
          <w:szCs w:val="28"/>
          <w:lang w:val="uk-UA"/>
        </w:rPr>
        <w:t xml:space="preserve"> ТА ПОТЕНЦІЙНІ</w:t>
      </w:r>
      <w:r w:rsidR="00662830" w:rsidRPr="00662830">
        <w:rPr>
          <w:rFonts w:ascii="Times New Roman" w:hAnsi="Times New Roman" w:cs="Times New Roman"/>
          <w:b/>
          <w:sz w:val="28"/>
          <w:szCs w:val="28"/>
          <w:lang w:val="uk-UA"/>
        </w:rPr>
        <w:t xml:space="preserve"> </w:t>
      </w:r>
      <w:r w:rsidR="00662830">
        <w:rPr>
          <w:rFonts w:ascii="Times New Roman" w:hAnsi="Times New Roman" w:cs="Times New Roman"/>
          <w:b/>
          <w:sz w:val="28"/>
          <w:szCs w:val="28"/>
          <w:lang w:val="uk-UA"/>
        </w:rPr>
        <w:t xml:space="preserve">ЗАГРОЗИ САНКЦІЙ ВІД </w:t>
      </w:r>
      <w:r w:rsidR="0026705D">
        <w:rPr>
          <w:rFonts w:ascii="Times New Roman" w:hAnsi="Times New Roman" w:cs="Times New Roman"/>
          <w:b/>
          <w:sz w:val="28"/>
          <w:szCs w:val="28"/>
          <w:lang w:val="uk-UA"/>
        </w:rPr>
        <w:t>ФАТФ</w:t>
      </w:r>
    </w:p>
    <w:p w:rsidR="00AC419B" w:rsidRPr="00AC419B" w:rsidRDefault="00AC419B" w:rsidP="00AC419B">
      <w:pPr>
        <w:spacing w:line="240" w:lineRule="auto"/>
        <w:ind w:firstLine="540"/>
        <w:jc w:val="center"/>
        <w:rPr>
          <w:rFonts w:ascii="Times New Roman" w:hAnsi="Times New Roman" w:cs="Times New Roman"/>
          <w:b/>
          <w:sz w:val="28"/>
          <w:szCs w:val="28"/>
          <w:shd w:val="clear" w:color="auto" w:fill="FFFFFF"/>
          <w:lang w:val="uk-UA"/>
        </w:rPr>
      </w:pPr>
      <w:r w:rsidRPr="00AC419B">
        <w:rPr>
          <w:rFonts w:ascii="Times New Roman" w:hAnsi="Times New Roman" w:cs="Times New Roman"/>
          <w:b/>
          <w:sz w:val="28"/>
          <w:szCs w:val="28"/>
          <w:shd w:val="clear" w:color="auto" w:fill="FFFFFF"/>
          <w:lang w:val="en-US"/>
        </w:rPr>
        <w:t>A</w:t>
      </w:r>
      <w:proofErr w:type="spellStart"/>
      <w:r w:rsidRPr="00AC419B">
        <w:rPr>
          <w:rFonts w:ascii="Times New Roman" w:hAnsi="Times New Roman" w:cs="Times New Roman"/>
          <w:b/>
          <w:sz w:val="28"/>
          <w:szCs w:val="28"/>
          <w:shd w:val="clear" w:color="auto" w:fill="FFFFFF"/>
          <w:lang w:val="uk-UA"/>
        </w:rPr>
        <w:t>льрашді</w:t>
      </w:r>
      <w:proofErr w:type="spellEnd"/>
      <w:r w:rsidRPr="00AC419B">
        <w:rPr>
          <w:rFonts w:ascii="Times New Roman" w:hAnsi="Times New Roman" w:cs="Times New Roman"/>
          <w:b/>
          <w:sz w:val="28"/>
          <w:szCs w:val="28"/>
          <w:shd w:val="clear" w:color="auto" w:fill="FFFFFF"/>
          <w:lang w:val="uk-UA"/>
        </w:rPr>
        <w:t xml:space="preserve"> </w:t>
      </w:r>
      <w:r w:rsidRPr="00AC419B">
        <w:rPr>
          <w:rFonts w:ascii="Times New Roman" w:hAnsi="Times New Roman" w:cs="Times New Roman"/>
          <w:b/>
          <w:sz w:val="28"/>
          <w:szCs w:val="28"/>
          <w:shd w:val="clear" w:color="auto" w:fill="FFFFFF"/>
          <w:lang w:val="en-US"/>
        </w:rPr>
        <w:t>A</w:t>
      </w:r>
      <w:proofErr w:type="spellStart"/>
      <w:r w:rsidRPr="00AC419B">
        <w:rPr>
          <w:rFonts w:ascii="Times New Roman" w:hAnsi="Times New Roman" w:cs="Times New Roman"/>
          <w:b/>
          <w:sz w:val="28"/>
          <w:szCs w:val="28"/>
          <w:shd w:val="clear" w:color="auto" w:fill="FFFFFF"/>
          <w:lang w:val="uk-UA"/>
        </w:rPr>
        <w:t>бдулла</w:t>
      </w:r>
      <w:proofErr w:type="spellEnd"/>
      <w:r w:rsidRPr="00AC419B">
        <w:rPr>
          <w:rFonts w:ascii="Times New Roman" w:hAnsi="Times New Roman" w:cs="Times New Roman"/>
          <w:b/>
          <w:sz w:val="28"/>
          <w:szCs w:val="28"/>
          <w:shd w:val="clear" w:color="auto" w:fill="FFFFFF"/>
          <w:lang w:val="uk-UA"/>
        </w:rPr>
        <w:t>,</w:t>
      </w:r>
    </w:p>
    <w:p w:rsidR="00AC419B" w:rsidRPr="00AC419B" w:rsidRDefault="00AC419B" w:rsidP="00AC419B">
      <w:pPr>
        <w:spacing w:line="240" w:lineRule="auto"/>
        <w:ind w:firstLine="540"/>
        <w:jc w:val="center"/>
        <w:rPr>
          <w:rFonts w:ascii="Times New Roman" w:hAnsi="Times New Roman" w:cs="Times New Roman"/>
          <w:sz w:val="28"/>
          <w:szCs w:val="28"/>
          <w:shd w:val="clear" w:color="auto" w:fill="FFFFFF"/>
        </w:rPr>
      </w:pPr>
      <w:r w:rsidRPr="00AC419B">
        <w:rPr>
          <w:rFonts w:ascii="Times New Roman" w:hAnsi="Times New Roman" w:cs="Times New Roman"/>
          <w:sz w:val="28"/>
          <w:szCs w:val="28"/>
          <w:shd w:val="clear" w:color="auto" w:fill="FFFFFF"/>
          <w:lang w:val="uk-UA"/>
        </w:rPr>
        <w:t>аспірант</w:t>
      </w:r>
    </w:p>
    <w:p w:rsidR="00AC419B" w:rsidRPr="00AC419B" w:rsidRDefault="00AC419B" w:rsidP="00AC419B">
      <w:pPr>
        <w:spacing w:line="240" w:lineRule="auto"/>
        <w:ind w:firstLine="540"/>
        <w:jc w:val="center"/>
        <w:rPr>
          <w:rFonts w:ascii="Times New Roman" w:hAnsi="Times New Roman" w:cs="Times New Roman"/>
          <w:sz w:val="28"/>
          <w:szCs w:val="28"/>
          <w:lang w:val="uk-UA"/>
        </w:rPr>
      </w:pPr>
      <w:r w:rsidRPr="00AC419B">
        <w:rPr>
          <w:rFonts w:ascii="Times New Roman" w:hAnsi="Times New Roman" w:cs="Times New Roman"/>
          <w:sz w:val="28"/>
          <w:szCs w:val="28"/>
          <w:lang w:val="uk-UA"/>
        </w:rPr>
        <w:t>Інститут міжнародних відносин Київського національного</w:t>
      </w:r>
    </w:p>
    <w:p w:rsidR="00AC419B" w:rsidRPr="00AC419B" w:rsidRDefault="00AC419B" w:rsidP="00AC419B">
      <w:pPr>
        <w:spacing w:line="240" w:lineRule="auto"/>
        <w:ind w:firstLine="540"/>
        <w:jc w:val="center"/>
        <w:rPr>
          <w:rFonts w:ascii="Times New Roman" w:hAnsi="Times New Roman" w:cs="Times New Roman"/>
          <w:sz w:val="28"/>
          <w:szCs w:val="28"/>
        </w:rPr>
      </w:pPr>
      <w:r w:rsidRPr="00AC419B">
        <w:rPr>
          <w:rFonts w:ascii="Times New Roman" w:hAnsi="Times New Roman" w:cs="Times New Roman"/>
          <w:sz w:val="28"/>
          <w:szCs w:val="28"/>
          <w:lang w:val="uk-UA"/>
        </w:rPr>
        <w:t>університету імені Тараса Шевченка</w:t>
      </w:r>
      <w:r w:rsidRPr="00AC419B">
        <w:rPr>
          <w:rFonts w:ascii="Times New Roman" w:hAnsi="Times New Roman" w:cs="Times New Roman"/>
          <w:sz w:val="28"/>
          <w:szCs w:val="28"/>
        </w:rPr>
        <w:t xml:space="preserve">, </w:t>
      </w:r>
      <w:r w:rsidRPr="00AC419B">
        <w:rPr>
          <w:rFonts w:ascii="Times New Roman" w:hAnsi="Times New Roman" w:cs="Times New Roman"/>
          <w:sz w:val="28"/>
          <w:szCs w:val="28"/>
          <w:lang w:val="uk-UA"/>
        </w:rPr>
        <w:t>Київ</w:t>
      </w:r>
      <w:r w:rsidRPr="00AC419B">
        <w:rPr>
          <w:rFonts w:ascii="Times New Roman" w:hAnsi="Times New Roman" w:cs="Times New Roman"/>
          <w:sz w:val="28"/>
          <w:szCs w:val="28"/>
        </w:rPr>
        <w:t xml:space="preserve">, </w:t>
      </w:r>
      <w:r w:rsidRPr="00AC419B">
        <w:rPr>
          <w:rFonts w:ascii="Times New Roman" w:hAnsi="Times New Roman" w:cs="Times New Roman"/>
          <w:sz w:val="28"/>
          <w:szCs w:val="28"/>
          <w:lang w:val="uk-UA"/>
        </w:rPr>
        <w:t>Україна</w:t>
      </w:r>
    </w:p>
    <w:p w:rsidR="00650C28" w:rsidRDefault="00662830" w:rsidP="00650C28">
      <w:pPr>
        <w:ind w:left="-567" w:firstLine="567"/>
        <w:jc w:val="both"/>
        <w:rPr>
          <w:rFonts w:ascii="Times New Roman" w:hAnsi="Times New Roman" w:cs="Times New Roman"/>
          <w:sz w:val="28"/>
          <w:szCs w:val="28"/>
          <w:lang w:val="uk-UA"/>
        </w:rPr>
      </w:pPr>
      <w:r w:rsidRPr="003A32F2">
        <w:rPr>
          <w:rFonts w:ascii="Times New Roman" w:hAnsi="Times New Roman" w:cs="Times New Roman"/>
          <w:sz w:val="28"/>
          <w:szCs w:val="28"/>
          <w:lang w:val="uk-UA"/>
        </w:rPr>
        <w:t xml:space="preserve">Офшорний сегмент фінансового сектору ОАЕ доцільно розглядати з позиції його значення у цьому процесі для економік всього регіону Перської затоки. </w:t>
      </w:r>
      <w:r>
        <w:rPr>
          <w:rFonts w:ascii="Times New Roman" w:hAnsi="Times New Roman" w:cs="Times New Roman"/>
          <w:sz w:val="28"/>
          <w:szCs w:val="28"/>
          <w:lang w:val="uk-UA"/>
        </w:rPr>
        <w:t>М</w:t>
      </w:r>
      <w:r w:rsidRPr="003A32F2">
        <w:rPr>
          <w:rFonts w:ascii="Times New Roman" w:hAnsi="Times New Roman" w:cs="Times New Roman"/>
          <w:sz w:val="28"/>
          <w:szCs w:val="28"/>
          <w:lang w:val="uk-UA"/>
        </w:rPr>
        <w:t>іжнародний фінансовий центр Дубаю</w:t>
      </w:r>
      <w:r>
        <w:rPr>
          <w:rFonts w:ascii="Times New Roman" w:hAnsi="Times New Roman" w:cs="Times New Roman"/>
          <w:sz w:val="28"/>
          <w:szCs w:val="28"/>
          <w:lang w:val="uk-UA"/>
        </w:rPr>
        <w:t xml:space="preserve"> (</w:t>
      </w:r>
      <w:r w:rsidRPr="003A32F2">
        <w:rPr>
          <w:rFonts w:ascii="Times New Roman" w:hAnsi="Times New Roman" w:cs="Times New Roman"/>
          <w:i/>
          <w:sz w:val="28"/>
          <w:szCs w:val="28"/>
          <w:lang w:val="uk-UA"/>
        </w:rPr>
        <w:t>DIFC</w:t>
      </w:r>
      <w:r w:rsidRPr="00662830">
        <w:rPr>
          <w:rFonts w:ascii="Times New Roman" w:hAnsi="Times New Roman" w:cs="Times New Roman"/>
          <w:sz w:val="28"/>
          <w:szCs w:val="28"/>
          <w:lang w:val="uk-UA"/>
        </w:rPr>
        <w:t>)</w:t>
      </w:r>
      <w:r w:rsidRPr="003A32F2">
        <w:rPr>
          <w:rFonts w:ascii="Times New Roman" w:hAnsi="Times New Roman" w:cs="Times New Roman"/>
          <w:sz w:val="28"/>
          <w:szCs w:val="28"/>
          <w:lang w:val="uk-UA"/>
        </w:rPr>
        <w:t xml:space="preserve"> був створений першим і сьогодні як</w:t>
      </w:r>
      <w:r>
        <w:rPr>
          <w:rFonts w:ascii="Times New Roman" w:hAnsi="Times New Roman" w:cs="Times New Roman"/>
          <w:sz w:val="28"/>
          <w:szCs w:val="28"/>
          <w:lang w:val="uk-UA"/>
        </w:rPr>
        <w:t xml:space="preserve"> і </w:t>
      </w:r>
      <w:r w:rsidRPr="008319A8">
        <w:rPr>
          <w:rFonts w:ascii="Times New Roman" w:hAnsi="Times New Roman" w:cs="Times New Roman"/>
          <w:sz w:val="28"/>
          <w:szCs w:val="28"/>
          <w:lang w:val="uk-UA"/>
        </w:rPr>
        <w:t>Глобальний ринок Абу-Дабі (</w:t>
      </w:r>
      <w:r w:rsidRPr="008319A8">
        <w:rPr>
          <w:rFonts w:ascii="Times New Roman" w:hAnsi="Times New Roman" w:cs="Times New Roman"/>
          <w:i/>
          <w:sz w:val="28"/>
          <w:szCs w:val="28"/>
          <w:lang w:val="uk-UA"/>
        </w:rPr>
        <w:t>ADGM</w:t>
      </w:r>
      <w:r w:rsidRPr="008319A8">
        <w:rPr>
          <w:rFonts w:ascii="Times New Roman" w:hAnsi="Times New Roman" w:cs="Times New Roman"/>
          <w:sz w:val="28"/>
          <w:szCs w:val="28"/>
          <w:lang w:val="uk-UA"/>
        </w:rPr>
        <w:t>)</w:t>
      </w:r>
      <w:r w:rsidRPr="003A32F2">
        <w:rPr>
          <w:rFonts w:ascii="Times New Roman" w:hAnsi="Times New Roman" w:cs="Times New Roman"/>
          <w:sz w:val="28"/>
          <w:szCs w:val="28"/>
          <w:lang w:val="uk-UA"/>
        </w:rPr>
        <w:t xml:space="preserve"> є фінансовим </w:t>
      </w:r>
      <w:proofErr w:type="spellStart"/>
      <w:r w:rsidRPr="003A32F2">
        <w:rPr>
          <w:rFonts w:ascii="Times New Roman" w:hAnsi="Times New Roman" w:cs="Times New Roman"/>
          <w:sz w:val="28"/>
          <w:szCs w:val="28"/>
          <w:lang w:val="uk-UA"/>
        </w:rPr>
        <w:t>хабом</w:t>
      </w:r>
      <w:proofErr w:type="spellEnd"/>
      <w:r w:rsidRPr="003A32F2">
        <w:rPr>
          <w:rFonts w:ascii="Times New Roman" w:hAnsi="Times New Roman" w:cs="Times New Roman"/>
          <w:sz w:val="28"/>
          <w:szCs w:val="28"/>
          <w:lang w:val="uk-UA"/>
        </w:rPr>
        <w:t xml:space="preserve"> для Близького Сходу, Африки та Південної Азії. Він забезпечує платформу міжнародного рівня для зв’язку ринків названих регіонів з економіками країн Європи, решти країн Азії та сприяє зростанню торгових та інвестиційних потоків на рівні Південь-Південь. </w:t>
      </w:r>
      <w:proofErr w:type="spellStart"/>
      <w:r w:rsidRPr="003A32F2">
        <w:rPr>
          <w:rFonts w:ascii="Times New Roman" w:hAnsi="Times New Roman" w:cs="Times New Roman"/>
          <w:sz w:val="28"/>
          <w:szCs w:val="28"/>
          <w:lang w:val="uk-UA"/>
        </w:rPr>
        <w:t>Оншорна</w:t>
      </w:r>
      <w:proofErr w:type="spellEnd"/>
      <w:r w:rsidRPr="003A32F2">
        <w:rPr>
          <w:rFonts w:ascii="Times New Roman" w:hAnsi="Times New Roman" w:cs="Times New Roman"/>
          <w:sz w:val="28"/>
          <w:szCs w:val="28"/>
          <w:lang w:val="uk-UA"/>
        </w:rPr>
        <w:t xml:space="preserve"> складова </w:t>
      </w:r>
      <w:r w:rsidRPr="003A32F2">
        <w:rPr>
          <w:rFonts w:ascii="Times New Roman" w:hAnsi="Times New Roman" w:cs="Times New Roman"/>
          <w:i/>
          <w:sz w:val="28"/>
          <w:szCs w:val="28"/>
          <w:lang w:val="uk-UA"/>
        </w:rPr>
        <w:t>DIFC</w:t>
      </w:r>
      <w:r w:rsidRPr="003A32F2">
        <w:rPr>
          <w:rFonts w:ascii="Times New Roman" w:hAnsi="Times New Roman" w:cs="Times New Roman"/>
          <w:sz w:val="28"/>
          <w:szCs w:val="28"/>
          <w:lang w:val="uk-UA"/>
        </w:rPr>
        <w:t xml:space="preserve"> забезпечує стабільну, зрілу та безпечну базу для розвитку корпоративного напрямку бізнесу фінансових установ. </w:t>
      </w:r>
      <w:r w:rsidRPr="003A32F2">
        <w:rPr>
          <w:rFonts w:ascii="Times New Roman" w:hAnsi="Times New Roman" w:cs="Times New Roman"/>
          <w:i/>
          <w:sz w:val="28"/>
          <w:szCs w:val="28"/>
          <w:lang w:val="uk-UA"/>
        </w:rPr>
        <w:t xml:space="preserve">DIFC </w:t>
      </w:r>
      <w:r w:rsidRPr="003A32F2">
        <w:rPr>
          <w:rFonts w:ascii="Times New Roman" w:hAnsi="Times New Roman" w:cs="Times New Roman"/>
          <w:sz w:val="28"/>
          <w:szCs w:val="28"/>
          <w:lang w:val="uk-UA"/>
        </w:rPr>
        <w:t>пропонує всі елементи, властиві найбільш успішним</w:t>
      </w:r>
      <w:r w:rsidRPr="00932153">
        <w:rPr>
          <w:rFonts w:ascii="Times New Roman" w:hAnsi="Times New Roman" w:cs="Times New Roman"/>
          <w:sz w:val="28"/>
          <w:szCs w:val="28"/>
          <w:lang w:val="uk-UA"/>
        </w:rPr>
        <w:t xml:space="preserve"> </w:t>
      </w:r>
      <w:r w:rsidRPr="003A32F2">
        <w:rPr>
          <w:rFonts w:ascii="Times New Roman" w:hAnsi="Times New Roman" w:cs="Times New Roman"/>
          <w:sz w:val="28"/>
          <w:szCs w:val="28"/>
          <w:lang w:val="uk-UA"/>
        </w:rPr>
        <w:t>глобальним екосистемам фінансової індустрії, включаючи незалежного регулятора, незалежну судову систему на принципах англійського загального права, міжнародну біржу, зручну інфраструктуру та сучасну архітектуру, послуги з підтримки та динамічне ділове середовище.</w:t>
      </w:r>
      <w:r w:rsidR="00650C28">
        <w:rPr>
          <w:rFonts w:ascii="Times New Roman" w:hAnsi="Times New Roman" w:cs="Times New Roman"/>
          <w:sz w:val="28"/>
          <w:szCs w:val="28"/>
          <w:lang w:val="uk-UA"/>
        </w:rPr>
        <w:t xml:space="preserve"> </w:t>
      </w:r>
      <w:r w:rsidR="00650C28" w:rsidRPr="003A32F2">
        <w:rPr>
          <w:rFonts w:ascii="Times New Roman" w:hAnsi="Times New Roman" w:cs="Times New Roman"/>
          <w:sz w:val="28"/>
          <w:szCs w:val="28"/>
          <w:lang w:val="uk-UA"/>
        </w:rPr>
        <w:t>Трьома складовими органами</w:t>
      </w:r>
      <w:r w:rsidR="00650C28" w:rsidRPr="003A32F2">
        <w:rPr>
          <w:rFonts w:ascii="Times New Roman" w:hAnsi="Times New Roman" w:cs="Times New Roman"/>
          <w:i/>
          <w:sz w:val="28"/>
          <w:szCs w:val="28"/>
          <w:lang w:val="uk-UA"/>
        </w:rPr>
        <w:t xml:space="preserve"> DIFC </w:t>
      </w:r>
      <w:r w:rsidR="00650C28" w:rsidRPr="003A32F2">
        <w:rPr>
          <w:rFonts w:ascii="Times New Roman" w:hAnsi="Times New Roman" w:cs="Times New Roman"/>
          <w:sz w:val="28"/>
          <w:szCs w:val="28"/>
          <w:lang w:val="uk-UA"/>
        </w:rPr>
        <w:t xml:space="preserve">як окремої юрисдикції в ОАЕ зі своїм цивільним та комерційним законодавством є Управління </w:t>
      </w:r>
      <w:r w:rsidR="00650C28" w:rsidRPr="003A32F2">
        <w:rPr>
          <w:rFonts w:ascii="Times New Roman" w:hAnsi="Times New Roman" w:cs="Times New Roman"/>
          <w:i/>
          <w:sz w:val="28"/>
          <w:szCs w:val="28"/>
          <w:lang w:val="uk-UA"/>
        </w:rPr>
        <w:t>DIFC</w:t>
      </w:r>
      <w:r w:rsidR="00650C28" w:rsidRPr="003A32F2">
        <w:rPr>
          <w:rFonts w:ascii="Times New Roman" w:hAnsi="Times New Roman" w:cs="Times New Roman"/>
          <w:sz w:val="28"/>
          <w:szCs w:val="28"/>
          <w:lang w:val="uk-UA"/>
        </w:rPr>
        <w:t xml:space="preserve">, судовий орган </w:t>
      </w:r>
      <w:r w:rsidR="00650C28" w:rsidRPr="003A32F2">
        <w:rPr>
          <w:rFonts w:ascii="Times New Roman" w:hAnsi="Times New Roman" w:cs="Times New Roman"/>
          <w:i/>
          <w:sz w:val="28"/>
          <w:szCs w:val="28"/>
          <w:lang w:val="uk-UA"/>
        </w:rPr>
        <w:t xml:space="preserve">DIFC </w:t>
      </w:r>
      <w:r w:rsidR="00650C28" w:rsidRPr="003A32F2">
        <w:rPr>
          <w:rFonts w:ascii="Times New Roman" w:hAnsi="Times New Roman" w:cs="Times New Roman"/>
          <w:sz w:val="28"/>
          <w:szCs w:val="28"/>
          <w:lang w:val="uk-UA"/>
        </w:rPr>
        <w:t>та Управління фінансових послуг Дубай (</w:t>
      </w:r>
      <w:r w:rsidR="00650C28" w:rsidRPr="003A32F2">
        <w:rPr>
          <w:rFonts w:ascii="Times New Roman" w:hAnsi="Times New Roman" w:cs="Times New Roman"/>
          <w:i/>
          <w:sz w:val="28"/>
          <w:szCs w:val="28"/>
          <w:lang w:val="uk-UA"/>
        </w:rPr>
        <w:t>DFSA</w:t>
      </w:r>
      <w:r w:rsidR="00650C28" w:rsidRPr="003A32F2">
        <w:rPr>
          <w:rFonts w:ascii="Times New Roman" w:hAnsi="Times New Roman" w:cs="Times New Roman"/>
          <w:sz w:val="28"/>
          <w:szCs w:val="28"/>
          <w:lang w:val="uk-UA"/>
        </w:rPr>
        <w:t>), які були створені шляхом синтезу федерального закону та закону Дубаю [</w:t>
      </w:r>
      <w:fldSimple w:instr=" REF _Ref61515270 \r \h  \* MERGEFORMAT ">
        <w:r w:rsidR="00650C28" w:rsidRPr="00DA4E3D">
          <w:rPr>
            <w:rFonts w:ascii="Times New Roman" w:hAnsi="Times New Roman" w:cs="Times New Roman"/>
            <w:sz w:val="28"/>
            <w:szCs w:val="28"/>
            <w:lang w:val="uk-UA"/>
          </w:rPr>
          <w:t>1</w:t>
        </w:r>
      </w:fldSimple>
      <w:r w:rsidR="00650C28" w:rsidRPr="003A32F2">
        <w:rPr>
          <w:rFonts w:ascii="Times New Roman" w:hAnsi="Times New Roman" w:cs="Times New Roman"/>
          <w:sz w:val="28"/>
          <w:szCs w:val="28"/>
          <w:lang w:val="uk-UA"/>
        </w:rPr>
        <w:t xml:space="preserve">]. </w:t>
      </w:r>
      <w:r w:rsidR="00650C28" w:rsidRPr="003A32F2">
        <w:rPr>
          <w:rFonts w:ascii="Times New Roman" w:hAnsi="Times New Roman" w:cs="Times New Roman"/>
          <w:i/>
          <w:sz w:val="28"/>
          <w:szCs w:val="28"/>
          <w:lang w:val="uk-UA"/>
        </w:rPr>
        <w:t xml:space="preserve">DIFC </w:t>
      </w:r>
      <w:r w:rsidR="00650C28" w:rsidRPr="003A32F2">
        <w:rPr>
          <w:rFonts w:ascii="Times New Roman" w:hAnsi="Times New Roman" w:cs="Times New Roman"/>
          <w:sz w:val="28"/>
          <w:szCs w:val="28"/>
          <w:lang w:val="uk-UA"/>
        </w:rPr>
        <w:t xml:space="preserve">у правовому полі знаходиться поза межами федерального цивільного та комерційного законодавства ОАЕ, хоча ОАЕ зберігає юрисдикцію у кримінальних справах. На практиці це означає, що комерційні справи, що виникають у межах </w:t>
      </w:r>
      <w:r w:rsidR="00650C28" w:rsidRPr="003A32F2">
        <w:rPr>
          <w:rFonts w:ascii="Times New Roman" w:hAnsi="Times New Roman" w:cs="Times New Roman"/>
          <w:i/>
          <w:sz w:val="28"/>
          <w:szCs w:val="28"/>
          <w:lang w:val="uk-UA"/>
        </w:rPr>
        <w:t>DIFC</w:t>
      </w:r>
      <w:r w:rsidR="00650C28" w:rsidRPr="003A32F2">
        <w:rPr>
          <w:rFonts w:ascii="Times New Roman" w:hAnsi="Times New Roman" w:cs="Times New Roman"/>
          <w:sz w:val="28"/>
          <w:szCs w:val="28"/>
          <w:lang w:val="uk-UA"/>
        </w:rPr>
        <w:t xml:space="preserve">, не підпадають під дію Цивільного чи Комерційного кодексів ОАЕ. </w:t>
      </w:r>
      <w:r w:rsidR="00650C28" w:rsidRPr="003A32F2">
        <w:rPr>
          <w:rFonts w:ascii="Times New Roman" w:hAnsi="Times New Roman" w:cs="Times New Roman"/>
          <w:i/>
          <w:sz w:val="28"/>
          <w:szCs w:val="28"/>
          <w:lang w:val="uk-UA"/>
        </w:rPr>
        <w:t>DIFC</w:t>
      </w:r>
      <w:r w:rsidR="00650C28" w:rsidRPr="003A32F2">
        <w:rPr>
          <w:rFonts w:ascii="Times New Roman" w:hAnsi="Times New Roman" w:cs="Times New Roman"/>
          <w:sz w:val="28"/>
          <w:szCs w:val="28"/>
          <w:lang w:val="uk-UA"/>
        </w:rPr>
        <w:t xml:space="preserve">, хоча і знаходиться фізично у Дубаї, він уповноважений законом створювати свою власну правову та нормативну базу. Закони та нормативні стандарти </w:t>
      </w:r>
      <w:r w:rsidR="00650C28" w:rsidRPr="003A32F2">
        <w:rPr>
          <w:rFonts w:ascii="Times New Roman" w:hAnsi="Times New Roman" w:cs="Times New Roman"/>
          <w:i/>
          <w:sz w:val="28"/>
          <w:szCs w:val="28"/>
          <w:lang w:val="uk-UA"/>
        </w:rPr>
        <w:t xml:space="preserve">DIFC </w:t>
      </w:r>
      <w:r w:rsidR="00650C28" w:rsidRPr="003A32F2">
        <w:rPr>
          <w:rFonts w:ascii="Times New Roman" w:hAnsi="Times New Roman" w:cs="Times New Roman"/>
          <w:sz w:val="28"/>
          <w:szCs w:val="28"/>
          <w:lang w:val="uk-UA"/>
        </w:rPr>
        <w:t>змодельовані на основі міжнародних стандартів та принципів англійського загального права, а сам він є яскравим прикладом того, як глобалізація фінансів стимулює створення автономних юрисдикцій, які діють як притулок для глобальних фінансових установ. Інституційна та організаційна база цих офшорних центрів формується шляхом перенесення моделей провідних фінансових центрів, міжнародних стандартів та найкращих практик.</w:t>
      </w:r>
    </w:p>
    <w:p w:rsidR="00265BD7" w:rsidRPr="003A32F2" w:rsidRDefault="00265BD7" w:rsidP="00265BD7">
      <w:pPr>
        <w:widowControl w:val="0"/>
        <w:shd w:val="clear" w:color="auto" w:fill="FFFFFF" w:themeFill="background1"/>
        <w:spacing w:after="0"/>
        <w:ind w:left="-567" w:firstLine="567"/>
        <w:jc w:val="both"/>
        <w:rPr>
          <w:rFonts w:ascii="Times New Roman" w:hAnsi="Times New Roman" w:cs="Times New Roman"/>
          <w:sz w:val="28"/>
          <w:szCs w:val="28"/>
          <w:lang w:val="uk-UA"/>
        </w:rPr>
      </w:pPr>
      <w:r w:rsidRPr="003A32F2">
        <w:rPr>
          <w:rFonts w:ascii="Times New Roman" w:hAnsi="Times New Roman" w:cs="Times New Roman"/>
          <w:sz w:val="28"/>
          <w:szCs w:val="28"/>
          <w:lang w:val="uk-UA"/>
        </w:rPr>
        <w:lastRenderedPageBreak/>
        <w:t xml:space="preserve">Як вільна </w:t>
      </w:r>
      <w:r>
        <w:rPr>
          <w:rFonts w:ascii="Times New Roman" w:hAnsi="Times New Roman" w:cs="Times New Roman"/>
          <w:sz w:val="28"/>
          <w:szCs w:val="28"/>
          <w:lang w:val="uk-UA"/>
        </w:rPr>
        <w:t xml:space="preserve">фінансова </w:t>
      </w:r>
      <w:r w:rsidRPr="003A32F2">
        <w:rPr>
          <w:rFonts w:ascii="Times New Roman" w:hAnsi="Times New Roman" w:cs="Times New Roman"/>
          <w:sz w:val="28"/>
          <w:szCs w:val="28"/>
          <w:lang w:val="uk-UA"/>
        </w:rPr>
        <w:t xml:space="preserve">зона </w:t>
      </w:r>
      <w:r>
        <w:rPr>
          <w:rFonts w:ascii="Times New Roman" w:hAnsi="Times New Roman" w:cs="Times New Roman"/>
          <w:sz w:val="28"/>
          <w:szCs w:val="28"/>
          <w:lang w:val="uk-UA"/>
        </w:rPr>
        <w:t xml:space="preserve">(ВФЗ) </w:t>
      </w:r>
      <w:r w:rsidRPr="003A32F2">
        <w:rPr>
          <w:rFonts w:ascii="Times New Roman" w:hAnsi="Times New Roman" w:cs="Times New Roman"/>
          <w:sz w:val="28"/>
          <w:szCs w:val="28"/>
          <w:lang w:val="uk-UA"/>
        </w:rPr>
        <w:t xml:space="preserve">з незалежною правовою системою </w:t>
      </w:r>
      <w:r w:rsidRPr="003A32F2">
        <w:rPr>
          <w:rFonts w:ascii="Times New Roman" w:hAnsi="Times New Roman" w:cs="Times New Roman"/>
          <w:i/>
          <w:sz w:val="28"/>
          <w:szCs w:val="28"/>
          <w:lang w:val="uk-UA"/>
        </w:rPr>
        <w:t xml:space="preserve">DIFC </w:t>
      </w:r>
      <w:r w:rsidRPr="003A32F2">
        <w:rPr>
          <w:rFonts w:ascii="Times New Roman" w:hAnsi="Times New Roman" w:cs="Times New Roman"/>
          <w:sz w:val="28"/>
          <w:szCs w:val="28"/>
          <w:lang w:val="uk-UA"/>
        </w:rPr>
        <w:t xml:space="preserve">не регулюється конституцією ОАЕ, і тому не стикається з проблемами щодо включення шаріату до цієї конституції. Закони та нормативні акти </w:t>
      </w:r>
      <w:r w:rsidRPr="003A32F2">
        <w:rPr>
          <w:rFonts w:ascii="Times New Roman" w:hAnsi="Times New Roman" w:cs="Times New Roman"/>
          <w:i/>
          <w:sz w:val="28"/>
          <w:szCs w:val="28"/>
          <w:lang w:val="uk-UA"/>
        </w:rPr>
        <w:t>DIFC</w:t>
      </w:r>
      <w:r w:rsidRPr="003A32F2">
        <w:rPr>
          <w:rFonts w:ascii="Times New Roman" w:hAnsi="Times New Roman" w:cs="Times New Roman"/>
          <w:sz w:val="28"/>
          <w:szCs w:val="28"/>
          <w:lang w:val="uk-UA"/>
        </w:rPr>
        <w:t xml:space="preserve"> є єдиним джерелом судових та нормативних рішень, а суди</w:t>
      </w:r>
      <w:r>
        <w:rPr>
          <w:rFonts w:ascii="Times New Roman" w:hAnsi="Times New Roman" w:cs="Times New Roman"/>
          <w:sz w:val="28"/>
          <w:szCs w:val="28"/>
          <w:lang w:val="uk-UA"/>
        </w:rPr>
        <w:t xml:space="preserve"> </w:t>
      </w:r>
      <w:r w:rsidRPr="003A32F2">
        <w:rPr>
          <w:rFonts w:ascii="Times New Roman" w:hAnsi="Times New Roman" w:cs="Times New Roman"/>
          <w:sz w:val="28"/>
          <w:szCs w:val="28"/>
          <w:lang w:val="uk-UA"/>
        </w:rPr>
        <w:t>не змушені тлумачити закон відповідно до інших джерел права, як це звичайно прийнято у близькосхідних судових органах.</w:t>
      </w:r>
      <w:r w:rsidR="00EC68FA" w:rsidRPr="00EC68FA">
        <w:rPr>
          <w:rFonts w:ascii="Times New Roman" w:hAnsi="Times New Roman" w:cs="Times New Roman"/>
          <w:sz w:val="28"/>
          <w:szCs w:val="28"/>
          <w:lang w:val="uk-UA"/>
        </w:rPr>
        <w:t xml:space="preserve"> </w:t>
      </w:r>
      <w:r w:rsidR="00EC68FA" w:rsidRPr="003A32F2">
        <w:rPr>
          <w:rFonts w:ascii="Times New Roman" w:hAnsi="Times New Roman" w:cs="Times New Roman"/>
          <w:sz w:val="28"/>
          <w:szCs w:val="28"/>
          <w:lang w:val="uk-UA"/>
        </w:rPr>
        <w:t xml:space="preserve">Основним завданням перед створенням </w:t>
      </w:r>
      <w:r w:rsidR="00EC68FA" w:rsidRPr="003A32F2">
        <w:rPr>
          <w:rFonts w:ascii="Times New Roman" w:hAnsi="Times New Roman" w:cs="Times New Roman"/>
          <w:i/>
          <w:sz w:val="28"/>
          <w:szCs w:val="28"/>
          <w:lang w:val="uk-UA"/>
        </w:rPr>
        <w:t xml:space="preserve">DIFC </w:t>
      </w:r>
      <w:r w:rsidR="00EC68FA" w:rsidRPr="003A32F2">
        <w:rPr>
          <w:rFonts w:ascii="Times New Roman" w:hAnsi="Times New Roman" w:cs="Times New Roman"/>
          <w:sz w:val="28"/>
          <w:szCs w:val="28"/>
          <w:lang w:val="uk-UA"/>
        </w:rPr>
        <w:t xml:space="preserve">було забезпечення національних компаній інфраструктурою світового класу, а його відкриття спричинило зміну парадигми для регіону. Сьогодні у </w:t>
      </w:r>
      <w:r w:rsidR="00EC68FA" w:rsidRPr="003A32F2">
        <w:rPr>
          <w:rFonts w:ascii="Times New Roman" w:hAnsi="Times New Roman" w:cs="Times New Roman"/>
          <w:i/>
          <w:sz w:val="28"/>
          <w:szCs w:val="28"/>
          <w:lang w:val="uk-UA"/>
        </w:rPr>
        <w:t>DIFC</w:t>
      </w:r>
      <w:r w:rsidR="00EC68FA" w:rsidRPr="003A32F2">
        <w:rPr>
          <w:rFonts w:ascii="Times New Roman" w:hAnsi="Times New Roman" w:cs="Times New Roman"/>
          <w:sz w:val="28"/>
          <w:szCs w:val="28"/>
          <w:lang w:val="uk-UA"/>
        </w:rPr>
        <w:t xml:space="preserve"> працюють понад 2300 фірм з усього світу, близько 600 з яких пов’язані з фінансами та фінансовими ринками. Це дозволило іноземним компаніям створювати свої управлінські або сімейні офіси, холдингові компанії ближче до активів, якими вони володіють або здійснюють управління. З 2017 р. в </w:t>
      </w:r>
      <w:r w:rsidR="00EC68FA" w:rsidRPr="003A32F2">
        <w:rPr>
          <w:rFonts w:ascii="Times New Roman" w:hAnsi="Times New Roman" w:cs="Times New Roman"/>
          <w:i/>
          <w:sz w:val="28"/>
          <w:szCs w:val="28"/>
          <w:lang w:val="uk-UA"/>
        </w:rPr>
        <w:t>DIFC</w:t>
      </w:r>
      <w:r w:rsidR="00EC68FA" w:rsidRPr="003A32F2">
        <w:rPr>
          <w:rFonts w:ascii="Times New Roman" w:hAnsi="Times New Roman" w:cs="Times New Roman"/>
          <w:sz w:val="28"/>
          <w:szCs w:val="28"/>
          <w:lang w:val="uk-UA"/>
        </w:rPr>
        <w:t xml:space="preserve"> працює </w:t>
      </w:r>
      <w:proofErr w:type="spellStart"/>
      <w:r w:rsidR="00EC68FA" w:rsidRPr="003A32F2">
        <w:rPr>
          <w:rFonts w:ascii="Times New Roman" w:hAnsi="Times New Roman" w:cs="Times New Roman"/>
          <w:i/>
          <w:sz w:val="28"/>
          <w:szCs w:val="28"/>
          <w:lang w:val="uk-UA"/>
        </w:rPr>
        <w:t>FinTechHive</w:t>
      </w:r>
      <w:proofErr w:type="spellEnd"/>
      <w:r w:rsidR="00EC68FA" w:rsidRPr="003A32F2">
        <w:rPr>
          <w:rFonts w:ascii="Times New Roman" w:hAnsi="Times New Roman" w:cs="Times New Roman"/>
          <w:sz w:val="28"/>
          <w:szCs w:val="28"/>
          <w:lang w:val="uk-UA"/>
        </w:rPr>
        <w:t xml:space="preserve">, унікальний акселератор у цій сфері, який почав залучати у регіон найсучасніші технології фінансових послуг. Варто також звернути увагу на те, що успіх та вплив </w:t>
      </w:r>
      <w:r w:rsidR="00EC68FA" w:rsidRPr="003A32F2">
        <w:rPr>
          <w:rFonts w:ascii="Times New Roman" w:hAnsi="Times New Roman" w:cs="Times New Roman"/>
          <w:i/>
          <w:sz w:val="28"/>
          <w:szCs w:val="28"/>
          <w:lang w:val="uk-UA"/>
        </w:rPr>
        <w:t>DIFC</w:t>
      </w:r>
      <w:r w:rsidR="00EC68FA" w:rsidRPr="003A32F2">
        <w:rPr>
          <w:rFonts w:ascii="Times New Roman" w:hAnsi="Times New Roman" w:cs="Times New Roman"/>
          <w:sz w:val="28"/>
          <w:szCs w:val="28"/>
          <w:lang w:val="uk-UA"/>
        </w:rPr>
        <w:t xml:space="preserve"> призвели до створення Катарського фінансового центру у 2005 р. та </w:t>
      </w:r>
      <w:r w:rsidR="00EC68FA" w:rsidRPr="008319A8">
        <w:rPr>
          <w:rFonts w:ascii="Times New Roman" w:hAnsi="Times New Roman" w:cs="Times New Roman"/>
          <w:i/>
          <w:sz w:val="28"/>
          <w:szCs w:val="28"/>
          <w:lang w:val="uk-UA"/>
        </w:rPr>
        <w:t>ADGM</w:t>
      </w:r>
      <w:r w:rsidR="00EC68FA" w:rsidRPr="003A32F2">
        <w:rPr>
          <w:rFonts w:ascii="Times New Roman" w:hAnsi="Times New Roman" w:cs="Times New Roman"/>
          <w:sz w:val="28"/>
          <w:szCs w:val="28"/>
          <w:lang w:val="uk-UA"/>
        </w:rPr>
        <w:t xml:space="preserve"> у 2013 р., які обидва використали схожу до </w:t>
      </w:r>
      <w:r w:rsidR="00EC68FA" w:rsidRPr="003A32F2">
        <w:rPr>
          <w:rFonts w:ascii="Times New Roman" w:hAnsi="Times New Roman" w:cs="Times New Roman"/>
          <w:i/>
          <w:sz w:val="28"/>
          <w:szCs w:val="28"/>
          <w:lang w:val="uk-UA"/>
        </w:rPr>
        <w:t>DIFC</w:t>
      </w:r>
      <w:r w:rsidR="00EC68FA" w:rsidRPr="003A32F2">
        <w:rPr>
          <w:rFonts w:ascii="Times New Roman" w:hAnsi="Times New Roman" w:cs="Times New Roman"/>
          <w:sz w:val="28"/>
          <w:szCs w:val="28"/>
          <w:lang w:val="uk-UA"/>
        </w:rPr>
        <w:t xml:space="preserve"> модель функціонування. </w:t>
      </w:r>
      <w:r w:rsidRPr="003A32F2">
        <w:rPr>
          <w:rFonts w:ascii="Times New Roman" w:hAnsi="Times New Roman" w:cs="Times New Roman"/>
          <w:sz w:val="28"/>
          <w:szCs w:val="28"/>
          <w:lang w:val="uk-UA"/>
        </w:rPr>
        <w:t xml:space="preserve"> </w:t>
      </w:r>
    </w:p>
    <w:p w:rsidR="00DA4E3D" w:rsidRDefault="00E73B66" w:rsidP="00CC6A68">
      <w:pPr>
        <w:ind w:left="-567" w:firstLine="567"/>
        <w:jc w:val="both"/>
        <w:rPr>
          <w:rFonts w:ascii="Times New Roman" w:hAnsi="Times New Roman" w:cs="Times New Roman"/>
          <w:sz w:val="28"/>
          <w:szCs w:val="28"/>
          <w:lang w:val="uk-UA"/>
        </w:rPr>
      </w:pPr>
      <w:r w:rsidRPr="003A32F2">
        <w:rPr>
          <w:rFonts w:ascii="Times New Roman" w:hAnsi="Times New Roman" w:cs="Times New Roman"/>
          <w:sz w:val="28"/>
          <w:szCs w:val="28"/>
          <w:lang w:val="uk-UA"/>
        </w:rPr>
        <w:t>Загалом, можна констатувати, що стратегія розвитку</w:t>
      </w:r>
      <w:r>
        <w:rPr>
          <w:rFonts w:ascii="Times New Roman" w:hAnsi="Times New Roman" w:cs="Times New Roman"/>
          <w:sz w:val="28"/>
          <w:szCs w:val="28"/>
          <w:lang w:val="uk-UA"/>
        </w:rPr>
        <w:t xml:space="preserve"> офшорної зони</w:t>
      </w:r>
      <w:r w:rsidRPr="003A32F2">
        <w:rPr>
          <w:rFonts w:ascii="Times New Roman" w:hAnsi="Times New Roman" w:cs="Times New Roman"/>
          <w:sz w:val="28"/>
          <w:szCs w:val="28"/>
          <w:lang w:val="uk-UA"/>
        </w:rPr>
        <w:t xml:space="preserve"> </w:t>
      </w:r>
      <w:r w:rsidRPr="003A32F2">
        <w:rPr>
          <w:rFonts w:ascii="Times New Roman" w:hAnsi="Times New Roman" w:cs="Times New Roman"/>
          <w:i/>
          <w:sz w:val="28"/>
          <w:szCs w:val="28"/>
          <w:lang w:val="uk-UA"/>
        </w:rPr>
        <w:t>DIFC</w:t>
      </w:r>
      <w:r w:rsidRPr="003A32F2">
        <w:rPr>
          <w:rFonts w:ascii="Times New Roman" w:hAnsi="Times New Roman" w:cs="Times New Roman"/>
          <w:sz w:val="28"/>
          <w:szCs w:val="28"/>
          <w:lang w:val="uk-UA"/>
        </w:rPr>
        <w:t xml:space="preserve"> є успішною, адже її реалізація допомогла зайняти конкурентне місце у глобальній мережі світових фінансових центрів, підтримувати інновації, торгівлю та інвестиції у всьому регіоні Близького Сходу, Африки та Південної Азії.</w:t>
      </w:r>
      <w:r w:rsidRPr="00E73B66">
        <w:rPr>
          <w:rFonts w:ascii="Times New Roman" w:hAnsi="Times New Roman" w:cs="Times New Roman"/>
          <w:sz w:val="28"/>
          <w:szCs w:val="28"/>
          <w:lang w:val="uk-UA"/>
        </w:rPr>
        <w:t xml:space="preserve"> </w:t>
      </w:r>
      <w:r w:rsidRPr="003A32F2">
        <w:rPr>
          <w:rFonts w:ascii="Times New Roman" w:hAnsi="Times New Roman" w:cs="Times New Roman"/>
          <w:sz w:val="28"/>
          <w:szCs w:val="28"/>
          <w:lang w:val="uk-UA"/>
        </w:rPr>
        <w:t xml:space="preserve">Нормативно-правова база </w:t>
      </w:r>
      <w:r w:rsidRPr="003A32F2">
        <w:rPr>
          <w:rFonts w:ascii="Times New Roman" w:hAnsi="Times New Roman" w:cs="Times New Roman"/>
          <w:i/>
          <w:sz w:val="28"/>
          <w:szCs w:val="28"/>
          <w:lang w:val="uk-UA"/>
        </w:rPr>
        <w:t>DIFC</w:t>
      </w:r>
      <w:r w:rsidRPr="003A32F2">
        <w:rPr>
          <w:rFonts w:ascii="Times New Roman" w:hAnsi="Times New Roman" w:cs="Times New Roman"/>
          <w:sz w:val="28"/>
          <w:szCs w:val="28"/>
          <w:lang w:val="uk-UA"/>
        </w:rPr>
        <w:t xml:space="preserve"> визнана найрозвиненішою та найбільш зручною для бізнесу юрисдикцією загального права у регіоні.</w:t>
      </w:r>
    </w:p>
    <w:p w:rsidR="00DA4E3D" w:rsidRDefault="00650C28" w:rsidP="00CC6A68">
      <w:pPr>
        <w:ind w:left="-567" w:firstLine="567"/>
        <w:jc w:val="both"/>
        <w:rPr>
          <w:rFonts w:ascii="Times New Roman" w:hAnsi="Times New Roman" w:cs="Times New Roman"/>
          <w:sz w:val="28"/>
          <w:szCs w:val="28"/>
          <w:lang w:val="uk-UA"/>
        </w:rPr>
      </w:pPr>
      <w:r w:rsidRPr="003A32F2">
        <w:rPr>
          <w:rFonts w:ascii="Times New Roman" w:hAnsi="Times New Roman" w:cs="Times New Roman"/>
          <w:sz w:val="28"/>
          <w:szCs w:val="28"/>
          <w:lang w:val="uk-UA"/>
        </w:rPr>
        <w:t>У цілому, більшість зі створених В</w:t>
      </w:r>
      <w:r w:rsidR="00CC6A68">
        <w:rPr>
          <w:rFonts w:ascii="Times New Roman" w:hAnsi="Times New Roman" w:cs="Times New Roman"/>
          <w:sz w:val="28"/>
          <w:szCs w:val="28"/>
          <w:lang w:val="uk-UA"/>
        </w:rPr>
        <w:t>Ф</w:t>
      </w:r>
      <w:r w:rsidRPr="003A32F2">
        <w:rPr>
          <w:rFonts w:ascii="Times New Roman" w:hAnsi="Times New Roman" w:cs="Times New Roman"/>
          <w:sz w:val="28"/>
          <w:szCs w:val="28"/>
          <w:lang w:val="uk-UA"/>
        </w:rPr>
        <w:t xml:space="preserve">З в ОАЕ розташовані у Дубаї, які, як правило, можна відрізнити від внутрішніх або </w:t>
      </w:r>
      <w:proofErr w:type="spellStart"/>
      <w:r w:rsidRPr="003A32F2">
        <w:rPr>
          <w:rFonts w:ascii="Times New Roman" w:hAnsi="Times New Roman" w:cs="Times New Roman"/>
          <w:sz w:val="28"/>
          <w:szCs w:val="28"/>
          <w:lang w:val="uk-UA"/>
        </w:rPr>
        <w:t>оншорних</w:t>
      </w:r>
      <w:proofErr w:type="spellEnd"/>
      <w:r w:rsidRPr="003A32F2">
        <w:rPr>
          <w:rFonts w:ascii="Times New Roman" w:hAnsi="Times New Roman" w:cs="Times New Roman"/>
          <w:sz w:val="28"/>
          <w:szCs w:val="28"/>
          <w:lang w:val="uk-UA"/>
        </w:rPr>
        <w:t xml:space="preserve"> фінансових центрів трьома способами. По-перше, вони торгують у зовнішніх валютах або у валютах, які не є валютою країни перебування, а фінансові операції, що виникають у вільній зоні, не пов’язані безпосередньо з національною банківською системою. По-друге, вільні зони, як правило, не призначені для громадян ОАЕ – вони обслуговують клієнтів-нерезидентів. По-третє, вони, як правило, позбавлені податків та валютного контролю, які характерні для внутрішнього фінансового ринку.</w:t>
      </w:r>
      <w:r w:rsidR="00CC6A68">
        <w:rPr>
          <w:rFonts w:ascii="Times New Roman" w:hAnsi="Times New Roman" w:cs="Times New Roman"/>
          <w:sz w:val="28"/>
          <w:szCs w:val="28"/>
          <w:lang w:val="uk-UA"/>
        </w:rPr>
        <w:t xml:space="preserve"> </w:t>
      </w:r>
    </w:p>
    <w:p w:rsidR="00CC6A68" w:rsidRDefault="00021AA1" w:rsidP="00CC6A68">
      <w:pPr>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C6A68" w:rsidRPr="003A32F2">
        <w:rPr>
          <w:rFonts w:ascii="Times New Roman" w:hAnsi="Times New Roman" w:cs="Times New Roman"/>
          <w:sz w:val="28"/>
          <w:szCs w:val="28"/>
          <w:lang w:val="uk-UA"/>
        </w:rPr>
        <w:t>ьогодні дві ВФЗ ОАЕ еволюціонували до ГФЦ зі своєю спеціалізацією</w:t>
      </w:r>
      <w:r>
        <w:rPr>
          <w:rFonts w:ascii="Times New Roman" w:hAnsi="Times New Roman" w:cs="Times New Roman"/>
          <w:sz w:val="28"/>
          <w:szCs w:val="28"/>
          <w:lang w:val="uk-UA"/>
        </w:rPr>
        <w:t>, а</w:t>
      </w:r>
      <w:r w:rsidR="00CC6A68" w:rsidRPr="003A32F2">
        <w:rPr>
          <w:rFonts w:ascii="Times New Roman" w:hAnsi="Times New Roman" w:cs="Times New Roman"/>
          <w:sz w:val="28"/>
          <w:szCs w:val="28"/>
          <w:lang w:val="uk-UA"/>
        </w:rPr>
        <w:t xml:space="preserve"> </w:t>
      </w:r>
      <w:r w:rsidRPr="003A32F2">
        <w:rPr>
          <w:rFonts w:ascii="Times New Roman" w:hAnsi="Times New Roman" w:cs="Times New Roman"/>
          <w:i/>
          <w:sz w:val="28"/>
          <w:szCs w:val="28"/>
          <w:lang w:val="uk-UA"/>
        </w:rPr>
        <w:t>DIFC</w:t>
      </w:r>
      <w:r w:rsidRPr="003A32F2">
        <w:rPr>
          <w:rFonts w:ascii="Times New Roman" w:hAnsi="Times New Roman" w:cs="Times New Roman"/>
          <w:sz w:val="28"/>
          <w:szCs w:val="28"/>
          <w:lang w:val="uk-UA"/>
        </w:rPr>
        <w:t xml:space="preserve"> </w:t>
      </w:r>
      <w:r w:rsidR="00CC6A68" w:rsidRPr="003A32F2">
        <w:rPr>
          <w:rFonts w:ascii="Times New Roman" w:hAnsi="Times New Roman" w:cs="Times New Roman"/>
          <w:sz w:val="28"/>
          <w:szCs w:val="28"/>
          <w:lang w:val="uk-UA"/>
        </w:rPr>
        <w:t xml:space="preserve">є більш </w:t>
      </w:r>
      <w:proofErr w:type="spellStart"/>
      <w:r w:rsidR="00CC6A68" w:rsidRPr="003A32F2">
        <w:rPr>
          <w:rFonts w:ascii="Times New Roman" w:hAnsi="Times New Roman" w:cs="Times New Roman"/>
          <w:sz w:val="28"/>
          <w:szCs w:val="28"/>
          <w:lang w:val="uk-UA"/>
        </w:rPr>
        <w:t>глобалізований</w:t>
      </w:r>
      <w:proofErr w:type="spellEnd"/>
      <w:r w:rsidR="00CC6A68" w:rsidRPr="003A32F2">
        <w:rPr>
          <w:rFonts w:ascii="Times New Roman" w:hAnsi="Times New Roman" w:cs="Times New Roman"/>
          <w:sz w:val="28"/>
          <w:szCs w:val="28"/>
          <w:lang w:val="uk-UA"/>
        </w:rPr>
        <w:t xml:space="preserve">, ніж </w:t>
      </w:r>
      <w:r w:rsidRPr="003A32F2">
        <w:rPr>
          <w:rFonts w:ascii="Times New Roman" w:hAnsi="Times New Roman" w:cs="Times New Roman"/>
          <w:i/>
          <w:sz w:val="28"/>
          <w:szCs w:val="28"/>
          <w:lang w:val="uk-UA"/>
        </w:rPr>
        <w:t>ADGM</w:t>
      </w:r>
      <w:r w:rsidRPr="003A32F2">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CC6A68" w:rsidRPr="003A32F2">
        <w:rPr>
          <w:rFonts w:ascii="Times New Roman" w:hAnsi="Times New Roman" w:cs="Times New Roman"/>
          <w:sz w:val="28"/>
          <w:szCs w:val="28"/>
          <w:lang w:val="uk-UA"/>
        </w:rPr>
        <w:t xml:space="preserve"> займає вищі місця у рейтингах ГФЦ. </w:t>
      </w:r>
      <w:r>
        <w:rPr>
          <w:rFonts w:ascii="Times New Roman" w:hAnsi="Times New Roman" w:cs="Times New Roman"/>
          <w:sz w:val="28"/>
          <w:szCs w:val="28"/>
          <w:lang w:val="uk-UA"/>
        </w:rPr>
        <w:t>Ч</w:t>
      </w:r>
      <w:r w:rsidR="00CC6A68" w:rsidRPr="003A32F2">
        <w:rPr>
          <w:rFonts w:ascii="Times New Roman" w:hAnsi="Times New Roman" w:cs="Times New Roman"/>
          <w:sz w:val="28"/>
          <w:szCs w:val="28"/>
          <w:lang w:val="uk-UA"/>
        </w:rPr>
        <w:t>ерез високий рівень секретності фінансової інформації в</w:t>
      </w:r>
      <w:r>
        <w:rPr>
          <w:rFonts w:ascii="Times New Roman" w:hAnsi="Times New Roman" w:cs="Times New Roman"/>
          <w:sz w:val="28"/>
          <w:szCs w:val="28"/>
          <w:lang w:val="uk-UA"/>
        </w:rPr>
        <w:t>о</w:t>
      </w:r>
      <w:r w:rsidR="00CC6A68" w:rsidRPr="003A32F2">
        <w:rPr>
          <w:rFonts w:ascii="Times New Roman" w:hAnsi="Times New Roman" w:cs="Times New Roman"/>
          <w:sz w:val="28"/>
          <w:szCs w:val="28"/>
          <w:lang w:val="uk-UA"/>
        </w:rPr>
        <w:t>н</w:t>
      </w:r>
      <w:r>
        <w:rPr>
          <w:rFonts w:ascii="Times New Roman" w:hAnsi="Times New Roman" w:cs="Times New Roman"/>
          <w:sz w:val="28"/>
          <w:szCs w:val="28"/>
          <w:lang w:val="uk-UA"/>
        </w:rPr>
        <w:t>и</w:t>
      </w:r>
      <w:r w:rsidR="00CC6A68" w:rsidRPr="003A32F2">
        <w:rPr>
          <w:rFonts w:ascii="Times New Roman" w:hAnsi="Times New Roman" w:cs="Times New Roman"/>
          <w:sz w:val="28"/>
          <w:szCs w:val="28"/>
          <w:lang w:val="uk-UA"/>
        </w:rPr>
        <w:t xml:space="preserve"> бач</w:t>
      </w:r>
      <w:r>
        <w:rPr>
          <w:rFonts w:ascii="Times New Roman" w:hAnsi="Times New Roman" w:cs="Times New Roman"/>
          <w:sz w:val="28"/>
          <w:szCs w:val="28"/>
          <w:lang w:val="uk-UA"/>
        </w:rPr>
        <w:t>ать</w:t>
      </w:r>
      <w:r w:rsidR="00CC6A68" w:rsidRPr="003A32F2">
        <w:rPr>
          <w:rFonts w:ascii="Times New Roman" w:hAnsi="Times New Roman" w:cs="Times New Roman"/>
          <w:sz w:val="28"/>
          <w:szCs w:val="28"/>
          <w:lang w:val="uk-UA"/>
        </w:rPr>
        <w:t>ся інвесторам як класичн</w:t>
      </w:r>
      <w:r>
        <w:rPr>
          <w:rFonts w:ascii="Times New Roman" w:hAnsi="Times New Roman" w:cs="Times New Roman"/>
          <w:sz w:val="28"/>
          <w:szCs w:val="28"/>
          <w:lang w:val="uk-UA"/>
        </w:rPr>
        <w:t>і</w:t>
      </w:r>
      <w:r w:rsidR="00CC6A68" w:rsidRPr="003A32F2">
        <w:rPr>
          <w:rFonts w:ascii="Times New Roman" w:hAnsi="Times New Roman" w:cs="Times New Roman"/>
          <w:sz w:val="28"/>
          <w:szCs w:val="28"/>
          <w:lang w:val="uk-UA"/>
        </w:rPr>
        <w:t xml:space="preserve"> офшор</w:t>
      </w:r>
      <w:r>
        <w:rPr>
          <w:rFonts w:ascii="Times New Roman" w:hAnsi="Times New Roman" w:cs="Times New Roman"/>
          <w:sz w:val="28"/>
          <w:szCs w:val="28"/>
          <w:lang w:val="uk-UA"/>
        </w:rPr>
        <w:t xml:space="preserve">и і </w:t>
      </w:r>
      <w:r w:rsidR="00CC6A68" w:rsidRPr="003A32F2">
        <w:rPr>
          <w:rFonts w:ascii="Times New Roman" w:hAnsi="Times New Roman" w:cs="Times New Roman"/>
          <w:sz w:val="28"/>
          <w:szCs w:val="28"/>
          <w:lang w:val="uk-UA"/>
        </w:rPr>
        <w:t xml:space="preserve">продовжують розвиватися, пропонуючи нові інструменти взаємодії з регіональними та глобальними фінансовими ринками. </w:t>
      </w:r>
      <w:r w:rsidR="0026705D" w:rsidRPr="009F603C">
        <w:rPr>
          <w:rFonts w:ascii="Times New Roman" w:hAnsi="Times New Roman" w:cs="Times New Roman"/>
          <w:sz w:val="28"/>
          <w:szCs w:val="28"/>
          <w:lang w:val="uk-UA"/>
        </w:rPr>
        <w:t xml:space="preserve">Аналіз даних глобального індексу фінансової секретності з використанням </w:t>
      </w:r>
      <w:proofErr w:type="spellStart"/>
      <w:r w:rsidR="0026705D" w:rsidRPr="009F603C">
        <w:rPr>
          <w:rFonts w:ascii="Times New Roman" w:hAnsi="Times New Roman" w:cs="Times New Roman"/>
          <w:sz w:val="28"/>
          <w:szCs w:val="28"/>
          <w:lang w:val="uk-UA"/>
        </w:rPr>
        <w:t>кластерного</w:t>
      </w:r>
      <w:proofErr w:type="spellEnd"/>
      <w:r w:rsidR="0026705D" w:rsidRPr="009F603C">
        <w:rPr>
          <w:rFonts w:ascii="Times New Roman" w:hAnsi="Times New Roman" w:cs="Times New Roman"/>
          <w:sz w:val="28"/>
          <w:szCs w:val="28"/>
          <w:lang w:val="uk-UA"/>
        </w:rPr>
        <w:t xml:space="preserve"> аналізу дозволив виявити 4 групи країн. ОАЕ потрапили до кластеру офшорних зон, </w:t>
      </w:r>
      <w:r w:rsidR="0026705D" w:rsidRPr="009F603C">
        <w:rPr>
          <w:rFonts w:ascii="Times New Roman" w:hAnsi="Times New Roman" w:cs="Times New Roman"/>
          <w:sz w:val="28"/>
          <w:szCs w:val="28"/>
          <w:lang w:val="uk-UA"/>
        </w:rPr>
        <w:lastRenderedPageBreak/>
        <w:t>острівних держав (таких у групі 23 з 28). Сусідами ОАЕ у кластері з розвинених економік є Швейцарія, Нідерланди, Ліхтенштейн (з Близького Сходу до цього кластеру потрапив також Катар), оцінка детермінантів появи ГФЦ в країні виявила два чинники (статистично важливі): інституції та інфраструктура</w:t>
      </w:r>
      <w:r w:rsidR="0026705D">
        <w:rPr>
          <w:rFonts w:ascii="Times New Roman" w:hAnsi="Times New Roman" w:cs="Times New Roman"/>
          <w:sz w:val="28"/>
          <w:szCs w:val="28"/>
          <w:lang w:val="uk-UA"/>
        </w:rPr>
        <w:t>.</w:t>
      </w:r>
    </w:p>
    <w:p w:rsidR="001372F4" w:rsidRPr="001372F4" w:rsidRDefault="001372F4" w:rsidP="001372F4">
      <w:pPr>
        <w:ind w:left="-567"/>
        <w:jc w:val="center"/>
        <w:rPr>
          <w:rFonts w:ascii="Times New Roman" w:hAnsi="Times New Roman" w:cs="Times New Roman"/>
          <w:b/>
          <w:sz w:val="28"/>
          <w:szCs w:val="28"/>
          <w:lang w:val="en-US"/>
        </w:rPr>
      </w:pPr>
      <w:r w:rsidRPr="001372F4">
        <w:rPr>
          <w:rFonts w:ascii="Times New Roman" w:hAnsi="Times New Roman" w:cs="Times New Roman"/>
          <w:b/>
          <w:sz w:val="28"/>
          <w:szCs w:val="28"/>
        </w:rPr>
        <w:t>Список</w:t>
      </w:r>
      <w:r w:rsidRPr="001372F4">
        <w:rPr>
          <w:rFonts w:ascii="Times New Roman" w:hAnsi="Times New Roman" w:cs="Times New Roman"/>
          <w:b/>
          <w:sz w:val="28"/>
          <w:szCs w:val="28"/>
          <w:lang w:val="en-US"/>
        </w:rPr>
        <w:t xml:space="preserve"> </w:t>
      </w:r>
      <w:proofErr w:type="spellStart"/>
      <w:r w:rsidRPr="001372F4">
        <w:rPr>
          <w:rFonts w:ascii="Times New Roman" w:hAnsi="Times New Roman" w:cs="Times New Roman"/>
          <w:b/>
          <w:sz w:val="28"/>
          <w:szCs w:val="28"/>
        </w:rPr>
        <w:t>використаних</w:t>
      </w:r>
      <w:proofErr w:type="spellEnd"/>
      <w:r w:rsidRPr="001372F4">
        <w:rPr>
          <w:rFonts w:ascii="Times New Roman" w:hAnsi="Times New Roman" w:cs="Times New Roman"/>
          <w:b/>
          <w:sz w:val="28"/>
          <w:szCs w:val="28"/>
          <w:lang w:val="en-US"/>
        </w:rPr>
        <w:t xml:space="preserve"> </w:t>
      </w:r>
      <w:proofErr w:type="spellStart"/>
      <w:r w:rsidRPr="001372F4">
        <w:rPr>
          <w:rFonts w:ascii="Times New Roman" w:hAnsi="Times New Roman" w:cs="Times New Roman"/>
          <w:b/>
          <w:sz w:val="28"/>
          <w:szCs w:val="28"/>
        </w:rPr>
        <w:t>джерел</w:t>
      </w:r>
      <w:proofErr w:type="spellEnd"/>
      <w:r w:rsidRPr="001372F4">
        <w:rPr>
          <w:rFonts w:ascii="Times New Roman" w:hAnsi="Times New Roman" w:cs="Times New Roman"/>
          <w:b/>
          <w:sz w:val="28"/>
          <w:szCs w:val="28"/>
          <w:lang w:val="en-US"/>
        </w:rPr>
        <w:t>:</w:t>
      </w:r>
    </w:p>
    <w:p w:rsidR="00CC6A68" w:rsidRDefault="00DA4E3D" w:rsidP="00CC6A68">
      <w:pPr>
        <w:ind w:left="-567" w:firstLine="567"/>
        <w:jc w:val="both"/>
        <w:rPr>
          <w:rFonts w:ascii="Times New Roman" w:hAnsi="Times New Roman" w:cs="Times New Roman"/>
          <w:sz w:val="28"/>
          <w:szCs w:val="28"/>
          <w:lang w:val="uk-UA"/>
        </w:rPr>
      </w:pPr>
      <w:r w:rsidRPr="00DA4E3D">
        <w:rPr>
          <w:rFonts w:ascii="Times New Roman" w:hAnsi="Times New Roman" w:cs="Times New Roman"/>
          <w:sz w:val="28"/>
          <w:szCs w:val="28"/>
          <w:lang w:val="uk-UA"/>
        </w:rPr>
        <w:t>1.</w:t>
      </w:r>
      <w:proofErr w:type="spellStart"/>
      <w:r w:rsidRPr="00DA4E3D">
        <w:rPr>
          <w:rFonts w:ascii="Times New Roman" w:hAnsi="Times New Roman" w:cs="Times New Roman"/>
          <w:sz w:val="28"/>
          <w:szCs w:val="28"/>
          <w:lang w:val="en-US"/>
        </w:rPr>
        <w:t>Ercanbrack</w:t>
      </w:r>
      <w:proofErr w:type="spellEnd"/>
      <w:r w:rsidRPr="00DA4E3D">
        <w:rPr>
          <w:rFonts w:ascii="Times New Roman" w:hAnsi="Times New Roman" w:cs="Times New Roman"/>
          <w:sz w:val="28"/>
          <w:szCs w:val="28"/>
          <w:lang w:val="en-US"/>
        </w:rPr>
        <w:t xml:space="preserve"> J. </w:t>
      </w:r>
      <w:proofErr w:type="gramStart"/>
      <w:r w:rsidRPr="00DA4E3D">
        <w:rPr>
          <w:rFonts w:ascii="Times New Roman" w:hAnsi="Times New Roman" w:cs="Times New Roman"/>
          <w:sz w:val="28"/>
          <w:szCs w:val="28"/>
          <w:lang w:val="en-US"/>
        </w:rPr>
        <w:t>The regulation of Islamic financial institutions in the Dubai International Financial Centre (DIFC).</w:t>
      </w:r>
      <w:proofErr w:type="gramEnd"/>
      <w:r w:rsidRPr="00DA4E3D">
        <w:rPr>
          <w:rFonts w:ascii="Times New Roman" w:hAnsi="Times New Roman" w:cs="Times New Roman"/>
          <w:sz w:val="28"/>
          <w:szCs w:val="28"/>
          <w:lang w:val="en-US"/>
        </w:rPr>
        <w:t xml:space="preserve"> </w:t>
      </w:r>
      <w:proofErr w:type="gramStart"/>
      <w:r w:rsidRPr="00DA4E3D">
        <w:rPr>
          <w:rFonts w:ascii="Times New Roman" w:hAnsi="Times New Roman" w:cs="Times New Roman"/>
          <w:sz w:val="28"/>
          <w:szCs w:val="28"/>
          <w:lang w:val="en-US"/>
        </w:rPr>
        <w:t>In The Transformation of Islamic Law in Global Financial Markets</w:t>
      </w:r>
      <w:r w:rsidRPr="00DA4E3D">
        <w:rPr>
          <w:rFonts w:ascii="Times New Roman" w:hAnsi="Times New Roman" w:cs="Times New Roman"/>
          <w:sz w:val="28"/>
          <w:szCs w:val="28"/>
          <w:lang w:val="uk-UA"/>
        </w:rPr>
        <w:t>.</w:t>
      </w:r>
      <w:proofErr w:type="gramEnd"/>
      <w:r w:rsidRPr="00DA4E3D">
        <w:rPr>
          <w:rFonts w:ascii="Times New Roman" w:hAnsi="Times New Roman" w:cs="Times New Roman"/>
          <w:sz w:val="28"/>
          <w:szCs w:val="28"/>
          <w:lang w:val="uk-UA"/>
        </w:rPr>
        <w:t xml:space="preserve"> </w:t>
      </w:r>
      <w:r w:rsidRPr="00DA4E3D">
        <w:rPr>
          <w:rFonts w:ascii="Times New Roman" w:hAnsi="Times New Roman" w:cs="Times New Roman"/>
          <w:sz w:val="28"/>
          <w:szCs w:val="28"/>
          <w:lang w:val="en-US"/>
        </w:rPr>
        <w:t>Cambridge: Cambridge University Press. 2015</w:t>
      </w:r>
      <w:r w:rsidRPr="00DA4E3D">
        <w:rPr>
          <w:rFonts w:ascii="Times New Roman" w:hAnsi="Times New Roman" w:cs="Times New Roman"/>
          <w:sz w:val="28"/>
          <w:szCs w:val="28"/>
          <w:lang w:val="uk-UA"/>
        </w:rPr>
        <w:t>. Р.</w:t>
      </w:r>
      <w:r w:rsidRPr="00DA4E3D">
        <w:rPr>
          <w:rFonts w:ascii="Times New Roman" w:hAnsi="Times New Roman" w:cs="Times New Roman"/>
          <w:sz w:val="28"/>
          <w:szCs w:val="28"/>
          <w:lang w:val="en-US"/>
        </w:rPr>
        <w:t xml:space="preserve"> 287-307.</w:t>
      </w:r>
    </w:p>
    <w:sectPr w:rsidR="00CC6A68" w:rsidSect="00AC28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830"/>
    <w:rsid w:val="00021AA1"/>
    <w:rsid w:val="001372F4"/>
    <w:rsid w:val="001F27D8"/>
    <w:rsid w:val="00265BD7"/>
    <w:rsid w:val="00267044"/>
    <w:rsid w:val="0026705D"/>
    <w:rsid w:val="00650C28"/>
    <w:rsid w:val="00662830"/>
    <w:rsid w:val="00724560"/>
    <w:rsid w:val="008A2C08"/>
    <w:rsid w:val="00AC280C"/>
    <w:rsid w:val="00AC419B"/>
    <w:rsid w:val="00CC6A68"/>
    <w:rsid w:val="00DA4E3D"/>
    <w:rsid w:val="00E73B66"/>
    <w:rsid w:val="00EC68FA"/>
    <w:rsid w:val="00EF4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F2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57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2021-03-18T15:31:00Z</dcterms:created>
  <dcterms:modified xsi:type="dcterms:W3CDTF">2021-03-18T16:47:00Z</dcterms:modified>
</cp:coreProperties>
</file>